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0" w:firstLine="0"/>
        <w:jc w:val="center"/>
        <w:rPr/>
      </w:pPr>
      <w:r w:rsidDel="00000000" w:rsidR="00000000" w:rsidRPr="00000000">
        <w:rPr>
          <w:b w:val="1"/>
          <w:sz w:val="24"/>
          <w:szCs w:val="24"/>
          <w:rtl w:val="0"/>
        </w:rPr>
        <w:t xml:space="preserve">BID Invest impulsa la compra electrónica de comestibles y la creación de empleo con Merqueo en México, Colombia y Brasil</w:t>
      </w:r>
      <w:r w:rsidDel="00000000" w:rsidR="00000000" w:rsidRPr="00000000">
        <w:rPr>
          <w:rtl w:val="0"/>
        </w:rPr>
      </w:r>
    </w:p>
    <w:p w:rsidR="00000000" w:rsidDel="00000000" w:rsidP="00000000" w:rsidRDefault="00000000" w:rsidRPr="00000000" w14:paraId="00000002">
      <w:pPr>
        <w:ind w:left="0" w:firstLine="0"/>
        <w:jc w:val="left"/>
        <w:rPr>
          <w:i w:val="1"/>
          <w:sz w:val="18"/>
          <w:szCs w:val="18"/>
        </w:rPr>
      </w:pPr>
      <w:r w:rsidDel="00000000" w:rsidR="00000000" w:rsidRPr="00000000">
        <w:rPr>
          <w:rtl w:val="0"/>
        </w:rPr>
      </w:r>
    </w:p>
    <w:p w:rsidR="00000000" w:rsidDel="00000000" w:rsidP="00000000" w:rsidRDefault="00000000" w:rsidRPr="00000000" w14:paraId="00000003">
      <w:pPr>
        <w:numPr>
          <w:ilvl w:val="0"/>
          <w:numId w:val="1"/>
        </w:numPr>
        <w:ind w:left="720" w:hanging="360"/>
        <w:jc w:val="center"/>
        <w:rPr>
          <w:i w:val="1"/>
          <w:sz w:val="18"/>
          <w:szCs w:val="18"/>
        </w:rPr>
      </w:pPr>
      <w:r w:rsidDel="00000000" w:rsidR="00000000" w:rsidRPr="00000000">
        <w:rPr>
          <w:i w:val="1"/>
          <w:sz w:val="18"/>
          <w:szCs w:val="18"/>
          <w:rtl w:val="0"/>
        </w:rPr>
        <w:t xml:space="preserve">El proyecto incluye una fuente innovadora de financiación en el comercio electrónico a través de un tramo mezzanine.</w:t>
      </w:r>
    </w:p>
    <w:p w:rsidR="00000000" w:rsidDel="00000000" w:rsidP="00000000" w:rsidRDefault="00000000" w:rsidRPr="00000000" w14:paraId="00000004">
      <w:pPr>
        <w:spacing w:line="240" w:lineRule="auto"/>
        <w:jc w:val="both"/>
        <w:rPr/>
      </w:pPr>
      <w:r w:rsidDel="00000000" w:rsidR="00000000" w:rsidRPr="00000000">
        <w:rPr>
          <w:rtl w:val="0"/>
        </w:rPr>
      </w:r>
    </w:p>
    <w:p w:rsidR="00000000" w:rsidDel="00000000" w:rsidP="00000000" w:rsidRDefault="00000000" w:rsidRPr="00000000" w14:paraId="00000005">
      <w:pPr>
        <w:jc w:val="both"/>
        <w:rPr>
          <w:color w:val="171717"/>
          <w:sz w:val="20"/>
          <w:szCs w:val="20"/>
        </w:rPr>
      </w:pPr>
      <w:r w:rsidDel="00000000" w:rsidR="00000000" w:rsidRPr="00000000">
        <w:rPr>
          <w:color w:val="171717"/>
          <w:sz w:val="20"/>
          <w:szCs w:val="20"/>
          <w:rtl w:val="0"/>
        </w:rPr>
        <w:t xml:space="preserve">BID Invest y Blue Like an Orange otorgaron un paquete de financiamiento de US$22 millones a Merqueo, el líder en el mercado de distribución integral en línea de alimentos en América Latina, con operaciones en México, Colombia y, más recientemente, en Brasil. Esto incluye un tramo mezzanine de US$4 millones de BID Invest y US$18 millones movilizados de Blue like an Orange Sustainable Capital. Los ingresos ayudarán a Merqueo a expandirse en Brasil y mejorar su plataforma tecnológica.</w:t>
      </w:r>
    </w:p>
    <w:p w:rsidR="00000000" w:rsidDel="00000000" w:rsidP="00000000" w:rsidRDefault="00000000" w:rsidRPr="00000000" w14:paraId="00000006">
      <w:pPr>
        <w:jc w:val="both"/>
        <w:rPr>
          <w:color w:val="171717"/>
          <w:sz w:val="20"/>
          <w:szCs w:val="20"/>
        </w:rPr>
      </w:pPr>
      <w:r w:rsidDel="00000000" w:rsidR="00000000" w:rsidRPr="00000000">
        <w:rPr>
          <w:rtl w:val="0"/>
        </w:rPr>
      </w:r>
    </w:p>
    <w:p w:rsidR="00000000" w:rsidDel="00000000" w:rsidP="00000000" w:rsidRDefault="00000000" w:rsidRPr="00000000" w14:paraId="00000007">
      <w:pPr>
        <w:jc w:val="both"/>
        <w:rPr>
          <w:color w:val="171717"/>
          <w:sz w:val="20"/>
          <w:szCs w:val="20"/>
        </w:rPr>
      </w:pPr>
      <w:r w:rsidDel="00000000" w:rsidR="00000000" w:rsidRPr="00000000">
        <w:rPr>
          <w:color w:val="171717"/>
          <w:sz w:val="20"/>
          <w:szCs w:val="20"/>
          <w:rtl w:val="0"/>
        </w:rPr>
        <w:t xml:space="preserve">El financiamiento fomentará el crecimiento de la cadena de suministro minorista y la creación de empleo, ya que se espera que Merqueo fortalezca y aumente la solidez de su cadena de suministro. La empresa incrementará las compras a proveedores nacionales en Brasil, donde el 80% son micro, pequeñas y medianas empresas (mipymes). También impulsará la creación de empleo, con planes de contratar a más de 2.000 trabajadores para 2025.</w:t>
      </w:r>
      <w:r w:rsidDel="00000000" w:rsidR="00000000" w:rsidRPr="00000000">
        <w:drawing>
          <wp:anchor allowOverlap="1" behindDoc="0" distB="114300" distT="114300" distL="114300" distR="114300" hidden="0" layoutInCell="1" locked="0" relativeHeight="0" simplePos="0">
            <wp:simplePos x="0" y="0"/>
            <wp:positionH relativeFrom="column">
              <wp:posOffset>2743950</wp:posOffset>
            </wp:positionH>
            <wp:positionV relativeFrom="paragraph">
              <wp:posOffset>822424</wp:posOffset>
            </wp:positionV>
            <wp:extent cx="3463172" cy="2310552"/>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3463172" cy="2310552"/>
                    </a:xfrm>
                    <a:prstGeom prst="rect"/>
                    <a:ln/>
                  </pic:spPr>
                </pic:pic>
              </a:graphicData>
            </a:graphic>
          </wp:anchor>
        </w:drawing>
      </w:r>
    </w:p>
    <w:p w:rsidR="00000000" w:rsidDel="00000000" w:rsidP="00000000" w:rsidRDefault="00000000" w:rsidRPr="00000000" w14:paraId="00000008">
      <w:pPr>
        <w:jc w:val="both"/>
        <w:rPr>
          <w:color w:val="171717"/>
          <w:sz w:val="20"/>
          <w:szCs w:val="20"/>
        </w:rPr>
      </w:pPr>
      <w:r w:rsidDel="00000000" w:rsidR="00000000" w:rsidRPr="00000000">
        <w:rPr>
          <w:rtl w:val="0"/>
        </w:rPr>
      </w:r>
    </w:p>
    <w:p w:rsidR="00000000" w:rsidDel="00000000" w:rsidP="00000000" w:rsidRDefault="00000000" w:rsidRPr="00000000" w14:paraId="00000009">
      <w:pPr>
        <w:jc w:val="both"/>
        <w:rPr>
          <w:color w:val="171717"/>
          <w:sz w:val="20"/>
          <w:szCs w:val="20"/>
        </w:rPr>
      </w:pPr>
      <w:r w:rsidDel="00000000" w:rsidR="00000000" w:rsidRPr="00000000">
        <w:rPr>
          <w:color w:val="171717"/>
          <w:sz w:val="20"/>
          <w:szCs w:val="20"/>
          <w:rtl w:val="0"/>
        </w:rPr>
        <w:t xml:space="preserve">BID Invest también ofrecerá servicios de asesoría para desarrollar una estrategia de sostenibilidad sólida y factible para identificar, gestionar y medir mejor los aspectos ambientales, sociales y de gobernanza (ASG) en sus operaciones en Brasil, Colombia y México.</w:t>
      </w:r>
    </w:p>
    <w:p w:rsidR="00000000" w:rsidDel="00000000" w:rsidP="00000000" w:rsidRDefault="00000000" w:rsidRPr="00000000" w14:paraId="0000000A">
      <w:pPr>
        <w:jc w:val="both"/>
        <w:rPr>
          <w:color w:val="171717"/>
          <w:sz w:val="20"/>
          <w:szCs w:val="20"/>
        </w:rPr>
      </w:pPr>
      <w:r w:rsidDel="00000000" w:rsidR="00000000" w:rsidRPr="00000000">
        <w:rPr>
          <w:rtl w:val="0"/>
        </w:rPr>
      </w:r>
    </w:p>
    <w:p w:rsidR="00000000" w:rsidDel="00000000" w:rsidP="00000000" w:rsidRDefault="00000000" w:rsidRPr="00000000" w14:paraId="0000000B">
      <w:pPr>
        <w:jc w:val="both"/>
        <w:rPr>
          <w:color w:val="171717"/>
          <w:sz w:val="20"/>
          <w:szCs w:val="20"/>
        </w:rPr>
      </w:pPr>
      <w:r w:rsidDel="00000000" w:rsidR="00000000" w:rsidRPr="00000000">
        <w:rPr>
          <w:color w:val="171717"/>
          <w:sz w:val="20"/>
          <w:szCs w:val="20"/>
          <w:rtl w:val="0"/>
        </w:rPr>
        <w:t xml:space="preserve">La transacción se basa en los continuos esfuerzos de BID Invest para promover fuentes alternativas de financiamiento para sectores económicos estratégicamente importantes. La inversión respalda la estrategia de BID Invest para impulsar la innovación, la economía digital y la disrupción tecnológica de los negocios tradicionales, como el comercio minorista, para aumentar la eficiencia y beneficiar a los consumidores.</w:t>
      </w:r>
    </w:p>
    <w:p w:rsidR="00000000" w:rsidDel="00000000" w:rsidP="00000000" w:rsidRDefault="00000000" w:rsidRPr="00000000" w14:paraId="0000000C">
      <w:pPr>
        <w:jc w:val="both"/>
        <w:rPr>
          <w:color w:val="171717"/>
          <w:sz w:val="20"/>
          <w:szCs w:val="20"/>
        </w:rPr>
      </w:pPr>
      <w:r w:rsidDel="00000000" w:rsidR="00000000" w:rsidRPr="00000000">
        <w:rPr>
          <w:rtl w:val="0"/>
        </w:rPr>
      </w:r>
    </w:p>
    <w:p w:rsidR="00000000" w:rsidDel="00000000" w:rsidP="00000000" w:rsidRDefault="00000000" w:rsidRPr="00000000" w14:paraId="0000000D">
      <w:pPr>
        <w:jc w:val="both"/>
        <w:rPr>
          <w:color w:val="171717"/>
          <w:sz w:val="20"/>
          <w:szCs w:val="20"/>
        </w:rPr>
      </w:pPr>
      <w:r w:rsidDel="00000000" w:rsidR="00000000" w:rsidRPr="00000000">
        <w:rPr>
          <w:color w:val="171717"/>
          <w:sz w:val="20"/>
          <w:szCs w:val="20"/>
          <w:rtl w:val="0"/>
        </w:rPr>
        <w:t xml:space="preserve">El financiamiento complementa otra serie de inversiones en Merqueo, incluida una realizada en 2021 cuando BID Invest se convirtió en accionista de la empresa y apoyó su lanzamiento en México. Además, este es el quinto acuerdo conjunto entre Blue like an Orange Sustainable Capital y BID Invest, como parte de un acuerdo marco de cofinanciamiento para catalizar inversiones con alto impacto de desarrollo en la región.</w:t>
      </w:r>
    </w:p>
    <w:p w:rsidR="00000000" w:rsidDel="00000000" w:rsidP="00000000" w:rsidRDefault="00000000" w:rsidRPr="00000000" w14:paraId="0000000E">
      <w:pPr>
        <w:jc w:val="both"/>
        <w:rPr>
          <w:color w:val="171717"/>
          <w:sz w:val="20"/>
          <w:szCs w:val="20"/>
        </w:rPr>
      </w:pPr>
      <w:r w:rsidDel="00000000" w:rsidR="00000000" w:rsidRPr="00000000">
        <w:rPr>
          <w:rtl w:val="0"/>
        </w:rPr>
      </w:r>
    </w:p>
    <w:p w:rsidR="00000000" w:rsidDel="00000000" w:rsidP="00000000" w:rsidRDefault="00000000" w:rsidRPr="00000000" w14:paraId="0000000F">
      <w:pPr>
        <w:jc w:val="both"/>
        <w:rPr>
          <w:color w:val="171717"/>
          <w:sz w:val="20"/>
          <w:szCs w:val="20"/>
        </w:rPr>
      </w:pPr>
      <w:r w:rsidDel="00000000" w:rsidR="00000000" w:rsidRPr="00000000">
        <w:rPr>
          <w:color w:val="171717"/>
          <w:sz w:val="20"/>
          <w:szCs w:val="20"/>
          <w:rtl w:val="0"/>
        </w:rPr>
        <w:t xml:space="preserve">Se espera que el acuerdo contribuya a cinco Objetivos de Desarrollo Sostenible (ODS) de las Naciones Unidas: Trabajo decente y crecimiento económico (ODS 8), Industria, innovación e infraestructura (ODS 9), Reducción de las desigualdades (ODS 10) Producción y consumo responsables (ODS 12), y Alianza para lograr los objetivos (ODS 17).</w:t>
      </w:r>
    </w:p>
    <w:p w:rsidR="00000000" w:rsidDel="00000000" w:rsidP="00000000" w:rsidRDefault="00000000" w:rsidRPr="00000000" w14:paraId="00000010">
      <w:pPr>
        <w:spacing w:line="276" w:lineRule="auto"/>
        <w:jc w:val="both"/>
        <w:rPr>
          <w:b w:val="1"/>
          <w:sz w:val="18"/>
          <w:szCs w:val="18"/>
        </w:rPr>
      </w:pPr>
      <w:r w:rsidDel="00000000" w:rsidR="00000000" w:rsidRPr="00000000">
        <w:rPr>
          <w:rtl w:val="0"/>
        </w:rPr>
      </w:r>
    </w:p>
    <w:p w:rsidR="00000000" w:rsidDel="00000000" w:rsidP="00000000" w:rsidRDefault="00000000" w:rsidRPr="00000000" w14:paraId="00000011">
      <w:pPr>
        <w:spacing w:line="276" w:lineRule="auto"/>
        <w:jc w:val="both"/>
        <w:rPr>
          <w:b w:val="1"/>
          <w:sz w:val="18"/>
          <w:szCs w:val="18"/>
        </w:rPr>
      </w:pPr>
      <w:r w:rsidDel="00000000" w:rsidR="00000000" w:rsidRPr="00000000">
        <w:rPr>
          <w:b w:val="1"/>
          <w:sz w:val="18"/>
          <w:szCs w:val="18"/>
          <w:rtl w:val="0"/>
        </w:rPr>
        <w:t xml:space="preserve">Sobre BID Invest</w:t>
      </w:r>
    </w:p>
    <w:p w:rsidR="00000000" w:rsidDel="00000000" w:rsidP="00000000" w:rsidRDefault="00000000" w:rsidRPr="00000000" w14:paraId="00000012">
      <w:pPr>
        <w:spacing w:line="276" w:lineRule="auto"/>
        <w:jc w:val="both"/>
        <w:rPr>
          <w:sz w:val="18"/>
          <w:szCs w:val="18"/>
        </w:rPr>
      </w:pPr>
      <w:r w:rsidDel="00000000" w:rsidR="00000000" w:rsidRPr="00000000">
        <w:rPr>
          <w:sz w:val="18"/>
          <w:szCs w:val="18"/>
          <w:rtl w:val="0"/>
        </w:rPr>
        <w:t xml:space="preserve">BID Invest es un banco multilateral de desarrollo comprometido a promover el desarrollo económico de sus países miembros en América Latina y el Caribe a través del sector privado. BID Invest financia empresas y proyectos sostenibles para que alcancen resultados financieros y maximicen el desarrollo económico, social y medio ambiental en la región. Con una cartera de US$14.800 millones en activos bajo administración y 376 clientes en 25 países, BID Invest provee soluciones financieras innovadoras y servicios de asesoría que responden a las necesidades de sus clientes en una variedad de sectores</w:t>
      </w:r>
    </w:p>
    <w:p w:rsidR="00000000" w:rsidDel="00000000" w:rsidP="00000000" w:rsidRDefault="00000000" w:rsidRPr="00000000" w14:paraId="00000013">
      <w:pPr>
        <w:spacing w:line="276" w:lineRule="auto"/>
        <w:jc w:val="both"/>
        <w:rPr>
          <w:b w:val="1"/>
          <w:sz w:val="18"/>
          <w:szCs w:val="18"/>
        </w:rPr>
      </w:pPr>
      <w:r w:rsidDel="00000000" w:rsidR="00000000" w:rsidRPr="00000000">
        <w:rPr>
          <w:rtl w:val="0"/>
        </w:rPr>
      </w:r>
    </w:p>
    <w:p w:rsidR="00000000" w:rsidDel="00000000" w:rsidP="00000000" w:rsidRDefault="00000000" w:rsidRPr="00000000" w14:paraId="00000014">
      <w:pPr>
        <w:spacing w:line="276" w:lineRule="auto"/>
        <w:jc w:val="both"/>
        <w:rPr>
          <w:b w:val="1"/>
          <w:sz w:val="18"/>
          <w:szCs w:val="18"/>
        </w:rPr>
      </w:pPr>
      <w:r w:rsidDel="00000000" w:rsidR="00000000" w:rsidRPr="00000000">
        <w:rPr>
          <w:rtl w:val="0"/>
        </w:rPr>
      </w:r>
    </w:p>
    <w:p w:rsidR="00000000" w:rsidDel="00000000" w:rsidP="00000000" w:rsidRDefault="00000000" w:rsidRPr="00000000" w14:paraId="00000015">
      <w:pPr>
        <w:spacing w:line="276" w:lineRule="auto"/>
        <w:jc w:val="both"/>
        <w:rPr>
          <w:b w:val="1"/>
          <w:sz w:val="18"/>
          <w:szCs w:val="18"/>
        </w:rPr>
      </w:pPr>
      <w:r w:rsidDel="00000000" w:rsidR="00000000" w:rsidRPr="00000000">
        <w:rPr>
          <w:rtl w:val="0"/>
        </w:rPr>
      </w:r>
    </w:p>
    <w:p w:rsidR="00000000" w:rsidDel="00000000" w:rsidP="00000000" w:rsidRDefault="00000000" w:rsidRPr="00000000" w14:paraId="00000016">
      <w:pPr>
        <w:spacing w:line="276" w:lineRule="auto"/>
        <w:jc w:val="both"/>
        <w:rPr>
          <w:b w:val="1"/>
          <w:sz w:val="18"/>
          <w:szCs w:val="18"/>
        </w:rPr>
      </w:pPr>
      <w:r w:rsidDel="00000000" w:rsidR="00000000" w:rsidRPr="00000000">
        <w:rPr>
          <w:b w:val="1"/>
          <w:sz w:val="18"/>
          <w:szCs w:val="18"/>
          <w:rtl w:val="0"/>
        </w:rPr>
        <w:t xml:space="preserve">Sobre Merqueo</w:t>
      </w:r>
    </w:p>
    <w:p w:rsidR="00000000" w:rsidDel="00000000" w:rsidP="00000000" w:rsidRDefault="00000000" w:rsidRPr="00000000" w14:paraId="00000017">
      <w:pPr>
        <w:spacing w:line="276" w:lineRule="auto"/>
        <w:jc w:val="both"/>
        <w:rPr>
          <w:sz w:val="18"/>
          <w:szCs w:val="18"/>
        </w:rPr>
      </w:pPr>
      <w:r w:rsidDel="00000000" w:rsidR="00000000" w:rsidRPr="00000000">
        <w:rPr>
          <w:sz w:val="18"/>
          <w:szCs w:val="18"/>
          <w:rtl w:val="0"/>
        </w:rPr>
        <w:t xml:space="preserve">Merqueo está construyendo la red logística de tiendas oscuras más grande de América Latina para entregar comestibles de manera más rápida y económica. Su catálogo abarca hasta 10.000 productos que incluyen frutas y verduras frescas, productos importados, licores, artículos para el hogar, artículos para el cuidado personal y más. Actualmente, la empresa opera en México, Colombia y Brasil.</w:t>
      </w:r>
      <w:r w:rsidDel="00000000" w:rsidR="00000000" w:rsidRPr="00000000">
        <w:rPr>
          <w:rtl w:val="0"/>
        </w:rPr>
      </w:r>
    </w:p>
    <w:p w:rsidR="00000000" w:rsidDel="00000000" w:rsidP="00000000" w:rsidRDefault="00000000" w:rsidRPr="00000000" w14:paraId="00000018">
      <w:pPr>
        <w:spacing w:line="276" w:lineRule="auto"/>
        <w:jc w:val="both"/>
        <w:rPr>
          <w:sz w:val="18"/>
          <w:szCs w:val="18"/>
        </w:rPr>
      </w:pPr>
      <w:r w:rsidDel="00000000" w:rsidR="00000000" w:rsidRPr="00000000">
        <w:rPr>
          <w:rtl w:val="0"/>
        </w:rPr>
      </w:r>
    </w:p>
    <w:p w:rsidR="00000000" w:rsidDel="00000000" w:rsidP="00000000" w:rsidRDefault="00000000" w:rsidRPr="00000000" w14:paraId="00000019">
      <w:pPr>
        <w:spacing w:line="276" w:lineRule="auto"/>
        <w:jc w:val="both"/>
        <w:rPr>
          <w:b w:val="1"/>
          <w:sz w:val="18"/>
          <w:szCs w:val="18"/>
        </w:rPr>
      </w:pPr>
      <w:r w:rsidDel="00000000" w:rsidR="00000000" w:rsidRPr="00000000">
        <w:rPr>
          <w:b w:val="1"/>
          <w:sz w:val="18"/>
          <w:szCs w:val="18"/>
          <w:rtl w:val="0"/>
        </w:rPr>
        <w:t xml:space="preserve">Sobre Blue like an Orange Sustainable Capital</w:t>
      </w:r>
    </w:p>
    <w:p w:rsidR="00000000" w:rsidDel="00000000" w:rsidP="00000000" w:rsidRDefault="00000000" w:rsidRPr="00000000" w14:paraId="0000001A">
      <w:pPr>
        <w:spacing w:line="276" w:lineRule="auto"/>
        <w:jc w:val="both"/>
        <w:rPr>
          <w:sz w:val="18"/>
          <w:szCs w:val="18"/>
        </w:rPr>
      </w:pPr>
      <w:r w:rsidDel="00000000" w:rsidR="00000000" w:rsidRPr="00000000">
        <w:rPr>
          <w:sz w:val="18"/>
          <w:szCs w:val="18"/>
          <w:rtl w:val="0"/>
        </w:rPr>
        <w:t xml:space="preserve">Blue like an Orange Sustainable Capital busca oportunidades para otorgar préstamos a empresas y proyectos que brinden fuertes rendimientos ajustados al riesgo y un impacto social positivo en apoyo de los Objetivos de Desarrollo Sostenible de la ONU.</w:t>
      </w:r>
    </w:p>
    <w:p w:rsidR="00000000" w:rsidDel="00000000" w:rsidP="00000000" w:rsidRDefault="00000000" w:rsidRPr="00000000" w14:paraId="0000001B">
      <w:pPr>
        <w:spacing w:line="276" w:lineRule="auto"/>
        <w:jc w:val="both"/>
        <w:rPr>
          <w:sz w:val="18"/>
          <w:szCs w:val="18"/>
        </w:rPr>
      </w:pPr>
      <w:r w:rsidDel="00000000" w:rsidR="00000000" w:rsidRPr="00000000">
        <w:rPr>
          <w:rtl w:val="0"/>
        </w:rPr>
      </w:r>
    </w:p>
    <w:p w:rsidR="00000000" w:rsidDel="00000000" w:rsidP="00000000" w:rsidRDefault="00000000" w:rsidRPr="00000000" w14:paraId="0000001C">
      <w:pPr>
        <w:spacing w:line="276" w:lineRule="auto"/>
        <w:jc w:val="both"/>
        <w:rPr>
          <w:sz w:val="18"/>
          <w:szCs w:val="18"/>
        </w:rPr>
      </w:pPr>
      <w:r w:rsidDel="00000000" w:rsidR="00000000" w:rsidRPr="00000000">
        <w:rPr>
          <w:rtl w:val="0"/>
        </w:rPr>
      </w:r>
    </w:p>
    <w:p w:rsidR="00000000" w:rsidDel="00000000" w:rsidP="00000000" w:rsidRDefault="00000000" w:rsidRPr="00000000" w14:paraId="0000001D">
      <w:pPr>
        <w:spacing w:line="276" w:lineRule="auto"/>
        <w:jc w:val="both"/>
        <w:rPr>
          <w:sz w:val="18"/>
          <w:szCs w:val="18"/>
        </w:rPr>
      </w:pPr>
      <w:r w:rsidDel="00000000" w:rsidR="00000000" w:rsidRPr="00000000">
        <w:rPr>
          <w:sz w:val="18"/>
          <w:szCs w:val="18"/>
          <w:rtl w:val="0"/>
        </w:rPr>
        <w:t xml:space="preserve">Contacto de prensa</w:t>
      </w:r>
    </w:p>
    <w:p w:rsidR="00000000" w:rsidDel="00000000" w:rsidP="00000000" w:rsidRDefault="00000000" w:rsidRPr="00000000" w14:paraId="0000001E">
      <w:pPr>
        <w:spacing w:line="276" w:lineRule="auto"/>
        <w:jc w:val="both"/>
        <w:rPr>
          <w:sz w:val="18"/>
          <w:szCs w:val="18"/>
        </w:rPr>
      </w:pPr>
      <w:r w:rsidDel="00000000" w:rsidR="00000000" w:rsidRPr="00000000">
        <w:rPr>
          <w:sz w:val="18"/>
          <w:szCs w:val="18"/>
          <w:rtl w:val="0"/>
        </w:rPr>
        <w:t xml:space="preserve">Sergio Vega Castillo - PR Manager</w:t>
      </w:r>
    </w:p>
    <w:p w:rsidR="00000000" w:rsidDel="00000000" w:rsidP="00000000" w:rsidRDefault="00000000" w:rsidRPr="00000000" w14:paraId="0000001F">
      <w:pPr>
        <w:spacing w:line="276" w:lineRule="auto"/>
        <w:jc w:val="both"/>
        <w:rPr>
          <w:sz w:val="18"/>
          <w:szCs w:val="18"/>
        </w:rPr>
      </w:pPr>
      <w:hyperlink r:id="rId7">
        <w:r w:rsidDel="00000000" w:rsidR="00000000" w:rsidRPr="00000000">
          <w:rPr>
            <w:color w:val="1155cc"/>
            <w:sz w:val="18"/>
            <w:szCs w:val="18"/>
            <w:u w:val="single"/>
            <w:rtl w:val="0"/>
          </w:rPr>
          <w:t xml:space="preserve">savega@merqueo.com</w:t>
        </w:r>
      </w:hyperlink>
      <w:r w:rsidDel="00000000" w:rsidR="00000000" w:rsidRPr="00000000">
        <w:rPr>
          <w:rtl w:val="0"/>
        </w:rPr>
      </w:r>
    </w:p>
    <w:p w:rsidR="00000000" w:rsidDel="00000000" w:rsidP="00000000" w:rsidRDefault="00000000" w:rsidRPr="00000000" w14:paraId="00000020">
      <w:pPr>
        <w:spacing w:line="276" w:lineRule="auto"/>
        <w:jc w:val="both"/>
        <w:rPr>
          <w:sz w:val="18"/>
          <w:szCs w:val="18"/>
        </w:rPr>
      </w:pPr>
      <w:r w:rsidDel="00000000" w:rsidR="00000000" w:rsidRPr="00000000">
        <w:rPr>
          <w:rtl w:val="0"/>
        </w:rPr>
      </w:r>
    </w:p>
    <w:p w:rsidR="00000000" w:rsidDel="00000000" w:rsidP="00000000" w:rsidRDefault="00000000" w:rsidRPr="00000000" w14:paraId="00000021">
      <w:pPr>
        <w:spacing w:line="276" w:lineRule="auto"/>
        <w:jc w:val="both"/>
        <w:rPr>
          <w:sz w:val="18"/>
          <w:szCs w:val="18"/>
        </w:rPr>
      </w:pPr>
      <w:r w:rsidDel="00000000" w:rsidR="00000000" w:rsidRPr="00000000">
        <w:rPr>
          <w:sz w:val="18"/>
          <w:szCs w:val="18"/>
          <w:rtl w:val="0"/>
        </w:rPr>
        <w:t xml:space="preserve">Marilu Camacho</w:t>
      </w:r>
    </w:p>
    <w:p w:rsidR="00000000" w:rsidDel="00000000" w:rsidP="00000000" w:rsidRDefault="00000000" w:rsidRPr="00000000" w14:paraId="00000022">
      <w:pPr>
        <w:spacing w:line="276" w:lineRule="auto"/>
        <w:jc w:val="both"/>
        <w:rPr>
          <w:sz w:val="18"/>
          <w:szCs w:val="18"/>
        </w:rPr>
      </w:pPr>
      <w:hyperlink r:id="rId8">
        <w:r w:rsidDel="00000000" w:rsidR="00000000" w:rsidRPr="00000000">
          <w:rPr>
            <w:color w:val="1155cc"/>
            <w:sz w:val="18"/>
            <w:szCs w:val="18"/>
            <w:u w:val="single"/>
            <w:rtl w:val="0"/>
          </w:rPr>
          <w:t xml:space="preserve">marilu@qprw.co</w:t>
        </w:r>
      </w:hyperlink>
      <w:r w:rsidDel="00000000" w:rsidR="00000000" w:rsidRPr="00000000">
        <w:rPr>
          <w:sz w:val="18"/>
          <w:szCs w:val="18"/>
          <w:rtl w:val="0"/>
        </w:rPr>
        <w:t xml:space="preserve"> </w:t>
      </w:r>
    </w:p>
    <w:sectPr>
      <w:headerReference r:id="rId9" w:type="default"/>
      <w:pgSz w:h="16834" w:w="11909" w:orient="portrait"/>
      <w:pgMar w:bottom="1090.0393700787413" w:top="1440" w:left="1133.8582677165355" w:right="990.4724409448835"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3">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4340550</wp:posOffset>
          </wp:positionH>
          <wp:positionV relativeFrom="paragraph">
            <wp:posOffset>-304799</wp:posOffset>
          </wp:positionV>
          <wp:extent cx="1385888" cy="664660"/>
          <wp:effectExtent b="0" l="0" r="0" t="0"/>
          <wp:wrapSquare wrapText="bothSides" distB="0" distT="0" distL="0" distR="0"/>
          <wp:docPr id="2" name="image1.png"/>
          <a:graphic>
            <a:graphicData uri="http://schemas.openxmlformats.org/drawingml/2006/picture">
              <pic:pic>
                <pic:nvPicPr>
                  <pic:cNvPr id="0" name="image1.png"/>
                  <pic:cNvPicPr preferRelativeResize="0"/>
                </pic:nvPicPr>
                <pic:blipFill>
                  <a:blip r:embed="rId1"/>
                  <a:srcRect b="0" l="-212" r="932" t="0"/>
                  <a:stretch>
                    <a:fillRect/>
                  </a:stretch>
                </pic:blipFill>
                <pic:spPr>
                  <a:xfrm>
                    <a:off x="0" y="0"/>
                    <a:ext cx="1385888" cy="66466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_419"/>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mailto:savega@merqueo.com" TargetMode="External"/><Relationship Id="rId8" Type="http://schemas.openxmlformats.org/officeDocument/2006/relationships/hyperlink" Target="mailto:marilu@qprw.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